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7EBB" w14:textId="160FC644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-Bold" w:hAnsi="BookAntiqua-Bold" w:cs="BookAntiqua-Bold"/>
          <w:b/>
          <w:bCs/>
          <w:sz w:val="21"/>
          <w:szCs w:val="21"/>
        </w:rPr>
      </w:pPr>
      <w:r>
        <w:rPr>
          <w:rFonts w:ascii="BookAntiqua-Bold" w:hAnsi="BookAntiqua-Bold" w:cs="BookAntiqua-Bold"/>
          <w:b/>
          <w:bCs/>
          <w:sz w:val="21"/>
          <w:szCs w:val="21"/>
        </w:rPr>
        <w:t xml:space="preserve">SUMMARY OF THE NEW 2018 TAX LAW </w:t>
      </w:r>
    </w:p>
    <w:p w14:paraId="12EEC971" w14:textId="777777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-Bold" w:hAnsi="BookAntiqua-Bold" w:cs="BookAntiqua-Bold"/>
          <w:b/>
          <w:bCs/>
          <w:sz w:val="21"/>
          <w:szCs w:val="21"/>
        </w:rPr>
      </w:pPr>
    </w:p>
    <w:p w14:paraId="3270490F" w14:textId="51F626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The President </w:t>
      </w:r>
      <w:r>
        <w:rPr>
          <w:rFonts w:ascii="BookAntiqua" w:hAnsi="BookAntiqua" w:cs="BookAntiqua"/>
          <w:sz w:val="21"/>
          <w:szCs w:val="21"/>
        </w:rPr>
        <w:t>sign</w:t>
      </w:r>
      <w:r>
        <w:rPr>
          <w:rFonts w:ascii="BookAntiqua" w:hAnsi="BookAntiqua" w:cs="BookAntiqua"/>
          <w:sz w:val="21"/>
          <w:szCs w:val="21"/>
        </w:rPr>
        <w:t xml:space="preserve">ed the biggest tax reform law in over 30 years. </w:t>
      </w:r>
      <w:r>
        <w:rPr>
          <w:rFonts w:ascii="BookAntiqua" w:hAnsi="BookAntiqua" w:cs="BookAntiqua"/>
          <w:sz w:val="21"/>
          <w:szCs w:val="21"/>
        </w:rPr>
        <w:t>Your 2018 t</w:t>
      </w:r>
      <w:r>
        <w:rPr>
          <w:rFonts w:ascii="BookAntiqua" w:hAnsi="BookAntiqua" w:cs="BookAntiqua"/>
          <w:sz w:val="21"/>
          <w:szCs w:val="21"/>
        </w:rPr>
        <w:t>ax return will look very different</w:t>
      </w:r>
      <w:r>
        <w:rPr>
          <w:rFonts w:ascii="BookAntiqua" w:hAnsi="BookAntiqua" w:cs="BookAntiqua"/>
          <w:sz w:val="21"/>
          <w:szCs w:val="21"/>
        </w:rPr>
        <w:t xml:space="preserve">, so you should spend the rest of 2018 getting ready for these changes.  </w:t>
      </w:r>
    </w:p>
    <w:p w14:paraId="6B2E75CD" w14:textId="6DBA393A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</w:p>
    <w:p w14:paraId="18AFA2F0" w14:textId="09FA6501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Below are the main changes which may affect you:</w:t>
      </w:r>
    </w:p>
    <w:p w14:paraId="66018A8A" w14:textId="777777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</w:p>
    <w:p w14:paraId="40BE8F9E" w14:textId="2DFD2F64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BookAntiqua-Bold" w:hAnsi="BookAntiqua-Bold" w:cs="BookAntiqua-Bold"/>
          <w:b/>
          <w:bCs/>
          <w:sz w:val="21"/>
          <w:szCs w:val="21"/>
        </w:rPr>
        <w:t xml:space="preserve">Tax rate changes: </w:t>
      </w:r>
      <w:r>
        <w:rPr>
          <w:rFonts w:ascii="BookAntiqua" w:hAnsi="BookAntiqua" w:cs="BookAntiqua"/>
          <w:sz w:val="21"/>
          <w:szCs w:val="21"/>
        </w:rPr>
        <w:t>Both individual and corporate rates have changed. The maximum individual rate is</w:t>
      </w:r>
      <w:r w:rsidR="00A721EB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reduced to 37%</w:t>
      </w:r>
      <w:r>
        <w:rPr>
          <w:rFonts w:ascii="BookAntiqua" w:hAnsi="BookAntiqua" w:cs="BookAntiqua"/>
          <w:sz w:val="21"/>
          <w:szCs w:val="21"/>
        </w:rPr>
        <w:t xml:space="preserve"> and changes on the levels to get to the 37% have been installed.  T</w:t>
      </w:r>
      <w:r>
        <w:rPr>
          <w:rFonts w:ascii="BookAntiqua" w:hAnsi="BookAntiqua" w:cs="BookAntiqua"/>
          <w:sz w:val="21"/>
          <w:szCs w:val="21"/>
        </w:rPr>
        <w:t>he corporate rate is now a flat 21%</w:t>
      </w:r>
      <w:r>
        <w:rPr>
          <w:rFonts w:ascii="BookAntiqua" w:hAnsi="BookAntiqua" w:cs="BookAntiqua"/>
          <w:sz w:val="21"/>
          <w:szCs w:val="21"/>
        </w:rPr>
        <w:t>, meaning you no longer have corporate income taxed at 15% or 22%.</w:t>
      </w:r>
    </w:p>
    <w:p w14:paraId="1F028661" w14:textId="777777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</w:p>
    <w:p w14:paraId="19400BB7" w14:textId="23BFF0BE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BookAntiqua-Bold" w:hAnsi="BookAntiqua-Bold" w:cs="BookAntiqua-Bold"/>
          <w:b/>
          <w:bCs/>
          <w:sz w:val="21"/>
          <w:szCs w:val="21"/>
        </w:rPr>
        <w:t>Standard deduction increase</w:t>
      </w:r>
      <w:r>
        <w:rPr>
          <w:rFonts w:ascii="BookAntiqua-Bold" w:hAnsi="BookAntiqua-Bold" w:cs="BookAntiqua-Bold"/>
          <w:b/>
          <w:bCs/>
          <w:sz w:val="21"/>
          <w:szCs w:val="21"/>
        </w:rPr>
        <w:t xml:space="preserve">d, however </w:t>
      </w:r>
      <w:r>
        <w:rPr>
          <w:rFonts w:ascii="BookAntiqua" w:hAnsi="BookAntiqua" w:cs="BookAntiqua"/>
          <w:sz w:val="21"/>
          <w:szCs w:val="21"/>
        </w:rPr>
        <w:t>personal exemption</w:t>
      </w:r>
      <w:r>
        <w:rPr>
          <w:rFonts w:ascii="BookAntiqua" w:hAnsi="BookAntiqua" w:cs="BookAntiqua"/>
          <w:sz w:val="21"/>
          <w:szCs w:val="21"/>
        </w:rPr>
        <w:t xml:space="preserve">s are no longer a deduction. </w:t>
      </w:r>
    </w:p>
    <w:p w14:paraId="72DDA563" w14:textId="777777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</w:p>
    <w:p w14:paraId="7008FC32" w14:textId="2EDDB4B0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BookAntiqua-Bold" w:hAnsi="BookAntiqua-Bold" w:cs="BookAntiqua-Bold"/>
          <w:b/>
          <w:bCs/>
          <w:sz w:val="21"/>
          <w:szCs w:val="21"/>
        </w:rPr>
        <w:t xml:space="preserve">Increased Child Tax Credit and new Dependent Credit: </w:t>
      </w:r>
      <w:r>
        <w:rPr>
          <w:rFonts w:ascii="BookAntiqua" w:hAnsi="BookAntiqua" w:cs="BookAntiqua"/>
          <w:sz w:val="21"/>
          <w:szCs w:val="21"/>
        </w:rPr>
        <w:t>The credit is increased for each child to $2,000</w:t>
      </w:r>
      <w:r w:rsidR="00A721EB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(up to $1,400 of which is refundable for each child) and each non-child dependent can now receive a new</w:t>
      </w:r>
      <w:r w:rsidR="00A721EB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credit of $500</w:t>
      </w:r>
      <w:r w:rsidR="00A721EB">
        <w:rPr>
          <w:rFonts w:ascii="BookAntiqua" w:hAnsi="BookAntiqua" w:cs="BookAntiqua"/>
          <w:sz w:val="21"/>
          <w:szCs w:val="21"/>
        </w:rPr>
        <w:t xml:space="preserve">.  </w:t>
      </w:r>
      <w:r>
        <w:rPr>
          <w:rFonts w:ascii="BookAntiqua" w:hAnsi="BookAntiqua" w:cs="BookAntiqua"/>
          <w:sz w:val="21"/>
          <w:szCs w:val="21"/>
        </w:rPr>
        <w:t xml:space="preserve">The phase-out thresholds for these credits </w:t>
      </w:r>
      <w:r>
        <w:rPr>
          <w:rFonts w:ascii="BookAntiqua" w:hAnsi="BookAntiqua" w:cs="BookAntiqua"/>
          <w:sz w:val="21"/>
          <w:szCs w:val="21"/>
        </w:rPr>
        <w:t>have increased, as well</w:t>
      </w:r>
      <w:r>
        <w:rPr>
          <w:rFonts w:ascii="BookAntiqua" w:hAnsi="BookAntiqua" w:cs="BookAntiqua"/>
          <w:sz w:val="21"/>
          <w:szCs w:val="21"/>
        </w:rPr>
        <w:t>. Married taxpayers filing a joint</w:t>
      </w:r>
      <w:r w:rsidR="00A721EB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return can claim the full credits if their adjusted gross income is $400,000 or less ($200,000 for all others). The</w:t>
      </w:r>
      <w:r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credit</w:t>
      </w:r>
      <w:r w:rsidR="00A721EB">
        <w:rPr>
          <w:rFonts w:ascii="BookAntiqua" w:hAnsi="BookAntiqua" w:cs="BookAntiqua"/>
          <w:sz w:val="21"/>
          <w:szCs w:val="21"/>
        </w:rPr>
        <w:t>s a</w:t>
      </w:r>
      <w:r>
        <w:rPr>
          <w:rFonts w:ascii="BookAntiqua" w:hAnsi="BookAntiqua" w:cs="BookAntiqua"/>
          <w:sz w:val="21"/>
          <w:szCs w:val="21"/>
        </w:rPr>
        <w:t>re fully phased out for married taxpayers filing a joint return when their adjusted gross income</w:t>
      </w:r>
      <w:r w:rsidR="00A721EB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 xml:space="preserve">reaches $440,000 ($240,000 for all others). </w:t>
      </w:r>
    </w:p>
    <w:p w14:paraId="7704876B" w14:textId="777777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</w:p>
    <w:p w14:paraId="76662DA5" w14:textId="777777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BookAntiqua-Bold" w:hAnsi="BookAntiqua-Bold" w:cs="BookAntiqua-Bold"/>
          <w:b/>
          <w:bCs/>
          <w:sz w:val="21"/>
          <w:szCs w:val="21"/>
        </w:rPr>
        <w:t xml:space="preserve">Disappearing deductions: </w:t>
      </w:r>
      <w:r>
        <w:rPr>
          <w:rFonts w:ascii="BookAntiqua" w:hAnsi="BookAntiqua" w:cs="BookAntiqua"/>
          <w:sz w:val="21"/>
          <w:szCs w:val="21"/>
        </w:rPr>
        <w:t>Beginning with the 2018 tax year, you will no longer be able to deduct:</w:t>
      </w:r>
    </w:p>
    <w:p w14:paraId="48F21923" w14:textId="54F039AF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BookAntiqua" w:hAnsi="BookAntiqua" w:cs="BookAntiqua"/>
          <w:sz w:val="21"/>
          <w:szCs w:val="21"/>
        </w:rPr>
        <w:t>State income tax and property taxes above $10,000 per year in total</w:t>
      </w:r>
    </w:p>
    <w:p w14:paraId="0ABB39D8" w14:textId="1EE1D52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BookAntiqua" w:hAnsi="BookAntiqua" w:cs="BookAntiqua"/>
          <w:sz w:val="21"/>
          <w:szCs w:val="21"/>
        </w:rPr>
        <w:t>Moving expenses (with an exception for certain military)</w:t>
      </w:r>
    </w:p>
    <w:p w14:paraId="5B7AFD6F" w14:textId="0C338261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BookAntiqua" w:hAnsi="BookAntiqua" w:cs="BookAntiqua"/>
          <w:sz w:val="21"/>
          <w:szCs w:val="21"/>
        </w:rPr>
        <w:t>Employee business expenses such as mileage, travel, entertainment, home office expenses, union</w:t>
      </w:r>
      <w:r w:rsidR="00A721EB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dues, tax preparation fees, and investment fees, among others</w:t>
      </w:r>
    </w:p>
    <w:p w14:paraId="185970A1" w14:textId="758F54DA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BookAntiqua" w:hAnsi="BookAntiqua" w:cs="BookAntiqua"/>
          <w:sz w:val="21"/>
          <w:szCs w:val="21"/>
        </w:rPr>
        <w:t>Mortgage interest beyond interest on $750,000 of acquisition debt, if you purchase a new home</w:t>
      </w:r>
    </w:p>
    <w:p w14:paraId="3A429A25" w14:textId="004AACB4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BookAntiqua" w:hAnsi="BookAntiqua" w:cs="BookAntiqua"/>
          <w:sz w:val="21"/>
          <w:szCs w:val="21"/>
        </w:rPr>
        <w:t xml:space="preserve">Mortgage interest paid on equity debt </w:t>
      </w:r>
      <w:r>
        <w:rPr>
          <w:rFonts w:ascii="BookAntiqua" w:hAnsi="BookAntiqua" w:cs="BookAntiqua"/>
          <w:sz w:val="21"/>
          <w:szCs w:val="21"/>
        </w:rPr>
        <w:t>(home equity loan interest) is no longer deductible</w:t>
      </w:r>
    </w:p>
    <w:p w14:paraId="792EF471" w14:textId="1A6864BF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BookAntiqua" w:hAnsi="BookAntiqua" w:cs="BookAntiqua"/>
          <w:sz w:val="21"/>
          <w:szCs w:val="21"/>
        </w:rPr>
        <w:t>Alimony is no longer deductible</w:t>
      </w:r>
      <w:r>
        <w:rPr>
          <w:rFonts w:ascii="BookAntiqua" w:hAnsi="BookAntiqua" w:cs="BookAntiqua"/>
          <w:sz w:val="21"/>
          <w:szCs w:val="21"/>
        </w:rPr>
        <w:t xml:space="preserve"> nor is </w:t>
      </w:r>
      <w:r>
        <w:rPr>
          <w:rFonts w:ascii="BookAntiqua" w:hAnsi="BookAntiqua" w:cs="BookAntiqua"/>
          <w:sz w:val="21"/>
          <w:szCs w:val="21"/>
        </w:rPr>
        <w:t>income to the person receiving it</w:t>
      </w:r>
      <w:r>
        <w:rPr>
          <w:rFonts w:ascii="BookAntiqua" w:hAnsi="BookAntiqua" w:cs="BookAntiqua"/>
          <w:sz w:val="21"/>
          <w:szCs w:val="21"/>
        </w:rPr>
        <w:t>.  NOTE:  this is on d</w:t>
      </w:r>
      <w:r>
        <w:rPr>
          <w:rFonts w:ascii="BookAntiqua" w:hAnsi="BookAntiqua" w:cs="BookAntiqua"/>
          <w:sz w:val="21"/>
          <w:szCs w:val="21"/>
        </w:rPr>
        <w:t>ivorces</w:t>
      </w:r>
      <w:r>
        <w:rPr>
          <w:rFonts w:ascii="BookAntiqua" w:hAnsi="BookAntiqua" w:cs="BookAntiqua"/>
          <w:sz w:val="21"/>
          <w:szCs w:val="21"/>
        </w:rPr>
        <w:t xml:space="preserve"> t</w:t>
      </w:r>
      <w:r>
        <w:rPr>
          <w:rFonts w:ascii="BookAntiqua" w:hAnsi="BookAntiqua" w:cs="BookAntiqua"/>
          <w:sz w:val="21"/>
          <w:szCs w:val="21"/>
        </w:rPr>
        <w:t>ak</w:t>
      </w:r>
      <w:r>
        <w:rPr>
          <w:rFonts w:ascii="BookAntiqua" w:hAnsi="BookAntiqua" w:cs="BookAntiqua"/>
          <w:sz w:val="21"/>
          <w:szCs w:val="21"/>
        </w:rPr>
        <w:t>ing</w:t>
      </w:r>
      <w:r w:rsidR="00A721EB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place after 12-31-17</w:t>
      </w:r>
      <w:r>
        <w:rPr>
          <w:rFonts w:ascii="BookAntiqua" w:hAnsi="BookAntiqua" w:cs="BookAntiqua"/>
          <w:sz w:val="21"/>
          <w:szCs w:val="21"/>
        </w:rPr>
        <w:t xml:space="preserve"> </w:t>
      </w:r>
    </w:p>
    <w:p w14:paraId="19648372" w14:textId="44B28A6F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BookAntiqua-Bold" w:hAnsi="BookAntiqua-Bold" w:cs="BookAntiqua-Bold"/>
          <w:b/>
          <w:bCs/>
          <w:sz w:val="21"/>
          <w:szCs w:val="21"/>
        </w:rPr>
        <w:t xml:space="preserve">Some new benefits for individuals: </w:t>
      </w:r>
    </w:p>
    <w:p w14:paraId="40137193" w14:textId="777777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BookAntiqua" w:hAnsi="BookAntiqua" w:cs="BookAntiqua"/>
          <w:sz w:val="21"/>
          <w:szCs w:val="21"/>
        </w:rPr>
        <w:t>The medical expense AGI threshold will temporarily drop to 7.5% of AGI for 2017 and 2018;</w:t>
      </w:r>
    </w:p>
    <w:p w14:paraId="44F8E0FB" w14:textId="777777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BookAntiqua" w:hAnsi="BookAntiqua" w:cs="BookAntiqua"/>
          <w:sz w:val="21"/>
          <w:szCs w:val="21"/>
        </w:rPr>
        <w:t>The AMT threshold is increased, so fewer middle-income taxpayers will be subject to AMT;</w:t>
      </w:r>
    </w:p>
    <w:p w14:paraId="1ADBC917" w14:textId="777777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BookAntiqua" w:hAnsi="BookAntiqua" w:cs="BookAntiqua"/>
          <w:sz w:val="21"/>
          <w:szCs w:val="21"/>
        </w:rPr>
        <w:t>The estate tax exclusion has nearly doubled, to $10 million (adjusted for inflation).</w:t>
      </w:r>
    </w:p>
    <w:p w14:paraId="2CD83ADA" w14:textId="0B958673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BookAntiqua-Bold" w:hAnsi="BookAntiqua-Bold" w:cs="BookAntiqua-Bold"/>
          <w:b/>
          <w:bCs/>
          <w:sz w:val="21"/>
          <w:szCs w:val="21"/>
        </w:rPr>
        <w:t xml:space="preserve">Small business benefit: </w:t>
      </w:r>
      <w:r>
        <w:rPr>
          <w:rFonts w:ascii="BookAntiqua" w:hAnsi="BookAntiqua" w:cs="BookAntiqua"/>
          <w:sz w:val="21"/>
          <w:szCs w:val="21"/>
        </w:rPr>
        <w:t>Beginning in 2018, there will be up to a 20% deduction from net business</w:t>
      </w:r>
      <w:r w:rsidR="00A721EB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income for a sole proprietorship, LLC (excluding those taxed as a C corporation), partnership, S corporation,</w:t>
      </w:r>
      <w:r w:rsidR="00A721EB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and rental activity. However, the 20% deduction is limited to 50% of the amount you paid out to W2</w:t>
      </w:r>
      <w:r w:rsidR="00A721EB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employees</w:t>
      </w:r>
      <w:r>
        <w:rPr>
          <w:rFonts w:ascii="BookAntiqua" w:hAnsi="BookAntiqua" w:cs="BookAntiqua"/>
          <w:sz w:val="21"/>
          <w:szCs w:val="21"/>
        </w:rPr>
        <w:t xml:space="preserve">, plus other complicated calculations.  </w:t>
      </w:r>
      <w:bookmarkStart w:id="0" w:name="_GoBack"/>
      <w:bookmarkEnd w:id="0"/>
    </w:p>
    <w:p w14:paraId="79A309BF" w14:textId="77777777" w:rsidR="00EF6F9E" w:rsidRDefault="00EF6F9E" w:rsidP="00A721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1"/>
          <w:szCs w:val="21"/>
        </w:rPr>
      </w:pPr>
    </w:p>
    <w:p w14:paraId="5B90DE92" w14:textId="0AA7D3CA" w:rsidR="008C7CFD" w:rsidRDefault="00EF6F9E" w:rsidP="00A721EB">
      <w:pPr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This is a short summary of the changes affecting most people.  </w:t>
      </w:r>
      <w:r w:rsidR="00A721EB">
        <w:rPr>
          <w:rFonts w:ascii="BookAntiqua" w:hAnsi="BookAntiqua" w:cs="BookAntiqua"/>
          <w:sz w:val="21"/>
          <w:szCs w:val="21"/>
        </w:rPr>
        <w:t>Please contact me so we can help you with year-end tax planning!</w:t>
      </w:r>
    </w:p>
    <w:p w14:paraId="508A0710" w14:textId="11B661C5" w:rsidR="00A721EB" w:rsidRDefault="00A721EB" w:rsidP="00EF6F9E"/>
    <w:sectPr w:rsidR="00A7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9E"/>
    <w:rsid w:val="008C7CFD"/>
    <w:rsid w:val="00A721EB"/>
    <w:rsid w:val="00E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0065"/>
  <w15:chartTrackingRefBased/>
  <w15:docId w15:val="{D2F899A1-E6B4-4633-AFC4-38A4CAA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Thompson</dc:creator>
  <cp:keywords/>
  <dc:description/>
  <cp:lastModifiedBy>Caryn Thompson</cp:lastModifiedBy>
  <cp:revision>1</cp:revision>
  <dcterms:created xsi:type="dcterms:W3CDTF">2018-08-23T20:50:00Z</dcterms:created>
  <dcterms:modified xsi:type="dcterms:W3CDTF">2018-08-23T21:02:00Z</dcterms:modified>
</cp:coreProperties>
</file>